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F9" w:rsidRPr="005077F9" w:rsidRDefault="005077F9" w:rsidP="005077F9">
      <w:pPr>
        <w:widowControl/>
        <w:shd w:val="clear" w:color="auto" w:fill="FFFFFF"/>
        <w:spacing w:line="1500" w:lineRule="atLeast"/>
        <w:jc w:val="center"/>
        <w:rPr>
          <w:rFonts w:ascii="Arial" w:eastAsia="宋体" w:hAnsi="Arial" w:cs="Arial"/>
          <w:color w:val="000000"/>
          <w:kern w:val="0"/>
          <w:sz w:val="84"/>
          <w:szCs w:val="84"/>
        </w:rPr>
      </w:pPr>
      <w:r w:rsidRPr="005077F9">
        <w:rPr>
          <w:rFonts w:ascii="宋体" w:eastAsia="宋体" w:hAnsi="宋体" w:cs="Arial" w:hint="eastAsia"/>
          <w:color w:val="FF0000"/>
          <w:spacing w:val="20"/>
          <w:kern w:val="0"/>
          <w:sz w:val="84"/>
          <w:szCs w:val="84"/>
        </w:rPr>
        <w:t>山东省财政厅文件</w:t>
      </w:r>
    </w:p>
    <w:p w:rsidR="005077F9" w:rsidRPr="00A931CB" w:rsidRDefault="005077F9" w:rsidP="005077F9">
      <w:pPr>
        <w:widowControl/>
        <w:shd w:val="clear" w:color="auto" w:fill="FFFFFF"/>
        <w:spacing w:before="100" w:beforeAutospacing="1" w:after="100" w:afterAutospacing="1" w:line="330" w:lineRule="atLeast"/>
        <w:jc w:val="center"/>
        <w:rPr>
          <w:rFonts w:ascii="Arial" w:eastAsia="宋体" w:hAnsi="Arial" w:cs="Arial"/>
          <w:color w:val="000000"/>
          <w:kern w:val="0"/>
          <w:szCs w:val="21"/>
        </w:rPr>
      </w:pPr>
      <w:r w:rsidRPr="00A931CB">
        <w:rPr>
          <w:rFonts w:ascii="宋体" w:eastAsia="宋体" w:hAnsi="宋体" w:cs="Arial" w:hint="eastAsia"/>
          <w:color w:val="000000"/>
          <w:kern w:val="0"/>
          <w:sz w:val="32"/>
          <w:szCs w:val="32"/>
        </w:rPr>
        <w:t>鲁财采〔2014〕35号</w:t>
      </w:r>
    </w:p>
    <w:p w:rsidR="005077F9" w:rsidRPr="00A931CB" w:rsidRDefault="005077F9" w:rsidP="005927FE">
      <w:pPr>
        <w:widowControl/>
        <w:shd w:val="clear" w:color="auto" w:fill="FFFFFF"/>
        <w:spacing w:before="100" w:beforeAutospacing="1" w:after="100" w:afterAutospacing="1" w:line="330" w:lineRule="atLeast"/>
        <w:jc w:val="center"/>
        <w:rPr>
          <w:rFonts w:ascii="Arial" w:eastAsia="宋体" w:hAnsi="Arial" w:cs="Arial"/>
          <w:color w:val="000000"/>
          <w:kern w:val="0"/>
          <w:szCs w:val="21"/>
        </w:rPr>
      </w:pPr>
      <w:r w:rsidRPr="00A931CB">
        <w:rPr>
          <w:rFonts w:ascii="宋体" w:eastAsia="宋体" w:hAnsi="宋体" w:cs="Arial" w:hint="eastAsia"/>
          <w:color w:val="000000"/>
          <w:kern w:val="0"/>
          <w:sz w:val="44"/>
          <w:szCs w:val="44"/>
        </w:rPr>
        <w:t>关于明确2015年政府采购预算编制有关问题的通知</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省直各部门、单位</w:t>
      </w:r>
      <w:r w:rsidRPr="00A931CB">
        <w:rPr>
          <w:rFonts w:ascii="宋体" w:eastAsia="宋体" w:hAnsi="宋体" w:cs="Arial" w:hint="eastAsia"/>
          <w:color w:val="000000"/>
          <w:kern w:val="0"/>
          <w:sz w:val="32"/>
          <w:szCs w:val="32"/>
        </w:rPr>
        <w:t>：</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为切实做好2015年政府采购预算编制工作，我们就《关于2015年省级政府采购预算编制有关事项的通知》（</w:t>
      </w:r>
      <w:r w:rsidRPr="00A931CB">
        <w:rPr>
          <w:rFonts w:ascii="宋体" w:eastAsia="宋体" w:hAnsi="宋体" w:cs="Arial" w:hint="eastAsia"/>
          <w:color w:val="000000"/>
          <w:kern w:val="0"/>
          <w:sz w:val="32"/>
          <w:szCs w:val="32"/>
        </w:rPr>
        <w:t>鲁财采〔2014〕19号，以下简称《通知》）的贯彻落实情况进行了调查了解，结合软件设置及定点采购等情况，现就有关问题进一步明确如下：</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黑体" w:eastAsia="黑体" w:hAnsi="黑体" w:cs="Arial" w:hint="eastAsia"/>
          <w:color w:val="000000"/>
          <w:kern w:val="0"/>
          <w:sz w:val="32"/>
          <w:szCs w:val="32"/>
        </w:rPr>
        <w:t>一、切实把握“直通车”内涵。</w:t>
      </w:r>
      <w:r w:rsidRPr="00A931CB">
        <w:rPr>
          <w:rFonts w:ascii="仿宋_GB2312" w:eastAsia="仿宋_GB2312" w:hAnsi="宋体" w:cs="Arial" w:hint="eastAsia"/>
          <w:color w:val="000000"/>
          <w:kern w:val="0"/>
          <w:sz w:val="32"/>
          <w:szCs w:val="32"/>
        </w:rPr>
        <w:t>政府采购“直通车”制度，即预算单位在编制政府采购预算环节就明确全部采购要素，执行中直接以预算作为执行依据发送至采购代理机构，不再经过主管部门和财政部门审核。“直通车”制度的实施，</w:t>
      </w:r>
      <w:r w:rsidRPr="00A931CB">
        <w:rPr>
          <w:rFonts w:ascii="宋体" w:eastAsia="宋体" w:hAnsi="宋体" w:cs="Arial" w:hint="eastAsia"/>
          <w:color w:val="000000"/>
          <w:kern w:val="0"/>
          <w:sz w:val="32"/>
          <w:szCs w:val="32"/>
        </w:rPr>
        <w:t>减少了预算单位审核环节，提高了预算执行效率，但该制度的施行，必须以预算完整、准确、细化填报为基础，因此，请各预算单位在编制政府采购预算时按照有关规定将采购要素填报完整，以便实现“直通车”。</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lastRenderedPageBreak/>
        <w:t> </w:t>
      </w:r>
      <w:r w:rsidRPr="00A931CB">
        <w:rPr>
          <w:rFonts w:ascii="黑体" w:eastAsia="黑体" w:hAnsi="黑体" w:cs="Arial" w:hint="eastAsia"/>
          <w:color w:val="000000"/>
          <w:kern w:val="0"/>
          <w:sz w:val="32"/>
          <w:szCs w:val="32"/>
        </w:rPr>
        <w:t>二、提前报送申请事项。</w:t>
      </w:r>
      <w:r w:rsidRPr="00A931CB">
        <w:rPr>
          <w:rFonts w:ascii="宋体" w:eastAsia="宋体" w:hAnsi="宋体" w:cs="Arial" w:hint="eastAsia"/>
          <w:color w:val="000000"/>
          <w:kern w:val="0"/>
          <w:sz w:val="32"/>
          <w:szCs w:val="32"/>
        </w:rPr>
        <w:t>为充分发挥政府采购“直通车”制度优势，各单位要按照《通知》要求，对采购以下品目或需求的事项，请于政府采购预算编报“二上”前，将书面申请报送省财政厅政府采购监督管理处。</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（一）对</w:t>
      </w:r>
      <w:r w:rsidRPr="00A931CB">
        <w:rPr>
          <w:rFonts w:ascii="宋体" w:eastAsia="宋体" w:hAnsi="宋体" w:cs="Arial" w:hint="eastAsia"/>
          <w:color w:val="000000"/>
          <w:kern w:val="0"/>
          <w:sz w:val="32"/>
          <w:szCs w:val="32"/>
        </w:rPr>
        <w:t>部分具有特殊性质的水（E020803）、电(E05)、暖(E06)、燃气(E07)项目采购、续签合同的物业管理服务(C09)采购、升级和延续的系统开发服务(C01)采购、涉密项目采购等，经主管部门审核后，提前报送自行采购书面申请。</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（二）</w:t>
      </w:r>
      <w:r w:rsidRPr="00A931CB">
        <w:rPr>
          <w:rFonts w:ascii="宋体" w:eastAsia="宋体" w:hAnsi="宋体" w:cs="Arial" w:hint="eastAsia"/>
          <w:color w:val="000000"/>
          <w:kern w:val="0"/>
          <w:sz w:val="32"/>
          <w:szCs w:val="32"/>
        </w:rPr>
        <w:t>对因专利、专有技术或公共服务的特殊要求等原因只能从唯一供应商处采购的，预算单位应提出书面申请（不需专家论证意见表），经主管部门审核后，提前报送单一来源书面申请。</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（三）对</w:t>
      </w:r>
      <w:r w:rsidRPr="00A931CB">
        <w:rPr>
          <w:rFonts w:ascii="宋体" w:eastAsia="宋体" w:hAnsi="宋体" w:cs="Arial" w:hint="eastAsia"/>
          <w:color w:val="000000"/>
          <w:kern w:val="0"/>
          <w:sz w:val="32"/>
          <w:szCs w:val="32"/>
        </w:rPr>
        <w:t>属于《2015-2016年山东省省级政府采购进口产品目录》外且确需采购的进口产品项目，预算单位经主管部门审核后，提前报送进口产品书面申请（不需专家论证意见表）。</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宋体" w:eastAsia="宋体" w:hAnsi="宋体" w:cs="Arial" w:hint="eastAsia"/>
          <w:color w:val="000000"/>
          <w:kern w:val="0"/>
          <w:sz w:val="32"/>
          <w:szCs w:val="32"/>
        </w:rPr>
        <w:t>对未按时报送书面申请的，预算单位将无法执行“直通车”制度，采购建议书仍需通过主管部门和财政部门的审核；对以上书面申请已通过审核的，请在“财政综合管理信息系统”内填报相应审核文号，未填报审核文号的，届时将无法选择相应的组织形式、采购方式或进口产品。</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lastRenderedPageBreak/>
        <w:t> </w:t>
      </w:r>
      <w:r w:rsidRPr="00A931CB">
        <w:rPr>
          <w:rFonts w:ascii="黑体" w:eastAsia="黑体" w:hAnsi="黑体" w:cs="Arial" w:hint="eastAsia"/>
          <w:color w:val="000000"/>
          <w:kern w:val="0"/>
          <w:sz w:val="32"/>
          <w:szCs w:val="32"/>
        </w:rPr>
        <w:t>三、选择确定配置标准。</w:t>
      </w:r>
      <w:r w:rsidRPr="00A931CB">
        <w:rPr>
          <w:rFonts w:ascii="宋体" w:eastAsia="宋体" w:hAnsi="宋体" w:cs="Arial" w:hint="eastAsia"/>
          <w:color w:val="000000"/>
          <w:kern w:val="0"/>
          <w:sz w:val="32"/>
          <w:szCs w:val="32"/>
        </w:rPr>
        <w:t>对采购5台以上台式计算机、便携式计算机、打印机、投影仪以及10包以上复印纸的，采购方式应选择“批量集中采购”，并按有关规定确定配置标准。对配置标准无法满足采购需求的，请于预算批复后另行上报采购配置标准变更申请。</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黑体" w:eastAsia="黑体" w:hAnsi="黑体" w:cs="Arial" w:hint="eastAsia"/>
          <w:color w:val="000000"/>
          <w:kern w:val="0"/>
          <w:sz w:val="32"/>
          <w:szCs w:val="32"/>
        </w:rPr>
        <w:t>四、充分利用采购限额。</w:t>
      </w:r>
      <w:r w:rsidRPr="00A931CB">
        <w:rPr>
          <w:rFonts w:ascii="宋体" w:eastAsia="宋体" w:hAnsi="宋体" w:cs="Arial" w:hint="eastAsia"/>
          <w:color w:val="000000"/>
          <w:kern w:val="0"/>
          <w:sz w:val="32"/>
          <w:szCs w:val="32"/>
        </w:rPr>
        <w:t>预算单位应在各采购方式限额标准内，按照批量集中采购、协议供货、定点采购、小额零星采购、公开招标的顺序编制政府采购预算，以便最大限度用好、用活、用足政府采购预算。即对属于批量集中采购、协议供货或定点采购内的品目，应优先选择上述前三种方式，如确实无法满足采购需求的，再选择小额零星采购或公开招标。</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宋体" w:eastAsia="宋体" w:hAnsi="宋体" w:cs="宋体" w:hint="eastAsia"/>
          <w:color w:val="000000"/>
          <w:kern w:val="0"/>
          <w:sz w:val="32"/>
          <w:szCs w:val="32"/>
        </w:rPr>
        <w:t>   </w:t>
      </w:r>
      <w:r w:rsidRPr="00A931CB">
        <w:rPr>
          <w:rFonts w:ascii="宋体" w:eastAsia="宋体" w:hAnsi="宋体" w:cs="宋体" w:hint="eastAsia"/>
          <w:color w:val="000000"/>
          <w:kern w:val="0"/>
          <w:sz w:val="32"/>
        </w:rPr>
        <w:t> </w:t>
      </w:r>
      <w:r w:rsidRPr="00A931CB">
        <w:rPr>
          <w:rFonts w:ascii="黑体" w:eastAsia="黑体" w:hAnsi="黑体" w:cs="Arial" w:hint="eastAsia"/>
          <w:color w:val="000000"/>
          <w:kern w:val="0"/>
          <w:sz w:val="32"/>
          <w:szCs w:val="32"/>
        </w:rPr>
        <w:t>五、合理选择代理机构。</w:t>
      </w:r>
      <w:r w:rsidRPr="00A931CB">
        <w:rPr>
          <w:rFonts w:ascii="仿宋_GB2312" w:eastAsia="仿宋_GB2312" w:hAnsi="宋体" w:cs="Arial" w:hint="eastAsia"/>
          <w:color w:val="000000"/>
          <w:kern w:val="0"/>
          <w:sz w:val="32"/>
          <w:szCs w:val="32"/>
        </w:rPr>
        <w:t>2015</w:t>
      </w:r>
      <w:r w:rsidRPr="00A931CB">
        <w:rPr>
          <w:rFonts w:ascii="宋体" w:eastAsia="宋体" w:hAnsi="宋体" w:cs="Arial" w:hint="eastAsia"/>
          <w:color w:val="000000"/>
          <w:kern w:val="0"/>
          <w:sz w:val="32"/>
          <w:szCs w:val="32"/>
        </w:rPr>
        <w:t>年政府采购“直通车”制度将扩大到所有采购代理机构，即预算编报时应提前确定年度内代理机构委托代理业务。按照有关要求，各预算单位应优先选择2014年度代理机构考核为优秀的公司。对于年度内变更代理机构的，需报财政部门审核。</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p>
    <w:p w:rsidR="005077F9" w:rsidRPr="00A931CB" w:rsidRDefault="00213722" w:rsidP="005077F9">
      <w:pPr>
        <w:widowControl/>
        <w:shd w:val="clear" w:color="auto" w:fill="FFFFFF"/>
        <w:spacing w:line="580" w:lineRule="atLeast"/>
        <w:ind w:firstLine="5600"/>
        <w:jc w:val="left"/>
        <w:rPr>
          <w:rFonts w:ascii="Arial" w:eastAsia="宋体" w:hAnsi="Arial" w:cs="Arial"/>
          <w:color w:val="000000"/>
          <w:kern w:val="0"/>
          <w:szCs w:val="21"/>
        </w:rPr>
      </w:pPr>
      <w:r>
        <w:rPr>
          <w:rFonts w:ascii="宋体" w:eastAsia="宋体" w:hAnsi="宋体" w:cs="Arial" w:hint="eastAsia"/>
          <w:color w:val="000000"/>
          <w:kern w:val="0"/>
          <w:sz w:val="32"/>
          <w:szCs w:val="32"/>
        </w:rPr>
        <w:t xml:space="preserve">  </w:t>
      </w:r>
      <w:r w:rsidR="005077F9" w:rsidRPr="00A931CB">
        <w:rPr>
          <w:rFonts w:ascii="宋体" w:eastAsia="宋体" w:hAnsi="宋体" w:cs="Arial" w:hint="eastAsia"/>
          <w:color w:val="000000"/>
          <w:kern w:val="0"/>
          <w:sz w:val="32"/>
          <w:szCs w:val="32"/>
        </w:rPr>
        <w:t>山东省财政厅</w:t>
      </w:r>
    </w:p>
    <w:p w:rsidR="005077F9" w:rsidRPr="00A931CB" w:rsidRDefault="005077F9" w:rsidP="00213722">
      <w:pPr>
        <w:widowControl/>
        <w:shd w:val="clear" w:color="auto" w:fill="FFFFFF"/>
        <w:spacing w:before="100" w:beforeAutospacing="1" w:after="100" w:afterAutospacing="1" w:line="330" w:lineRule="atLeast"/>
        <w:jc w:val="right"/>
        <w:rPr>
          <w:rFonts w:ascii="Arial" w:eastAsia="宋体" w:hAnsi="Arial" w:cs="Arial"/>
          <w:color w:val="000000"/>
          <w:kern w:val="0"/>
          <w:szCs w:val="21"/>
        </w:rPr>
      </w:pPr>
      <w:r w:rsidRPr="00A931CB">
        <w:rPr>
          <w:rFonts w:ascii="Arial" w:eastAsia="宋体" w:hAnsi="Arial" w:cs="Arial"/>
          <w:color w:val="000000"/>
          <w:kern w:val="0"/>
          <w:szCs w:val="21"/>
        </w:rPr>
        <w:t> </w:t>
      </w:r>
      <w:r w:rsidRPr="00A931CB">
        <w:rPr>
          <w:rFonts w:ascii="仿宋_GB2312" w:eastAsia="仿宋_GB2312" w:hAnsi="宋体" w:cs="Arial" w:hint="eastAsia"/>
          <w:color w:val="000000"/>
          <w:kern w:val="0"/>
          <w:sz w:val="32"/>
          <w:szCs w:val="32"/>
        </w:rPr>
        <w:t>2014</w:t>
      </w:r>
      <w:r w:rsidRPr="00A931CB">
        <w:rPr>
          <w:rFonts w:ascii="宋体" w:eastAsia="宋体" w:hAnsi="宋体" w:cs="Arial" w:hint="eastAsia"/>
          <w:color w:val="000000"/>
          <w:kern w:val="0"/>
          <w:sz w:val="32"/>
          <w:szCs w:val="32"/>
        </w:rPr>
        <w:t>年12月2日</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p>
    <w:p w:rsidR="005077F9" w:rsidRPr="00A931CB" w:rsidRDefault="005077F9" w:rsidP="005077F9">
      <w:pPr>
        <w:widowControl/>
        <w:shd w:val="clear" w:color="auto" w:fill="FFFFFF"/>
        <w:spacing w:line="580" w:lineRule="atLeast"/>
        <w:jc w:val="left"/>
        <w:rPr>
          <w:rFonts w:ascii="Arial" w:eastAsia="宋体" w:hAnsi="Arial" w:cs="Arial"/>
          <w:color w:val="000000"/>
          <w:kern w:val="0"/>
          <w:szCs w:val="21"/>
        </w:rPr>
      </w:pPr>
      <w:r w:rsidRPr="00A931CB">
        <w:rPr>
          <w:rFonts w:ascii="宋体" w:eastAsia="宋体" w:hAnsi="宋体" w:cs="宋体" w:hint="eastAsia"/>
          <w:color w:val="000000"/>
          <w:kern w:val="0"/>
          <w:sz w:val="28"/>
          <w:szCs w:val="28"/>
        </w:rPr>
        <w:lastRenderedPageBreak/>
        <w:t> </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p>
    <w:p w:rsidR="005077F9" w:rsidRPr="00A931CB" w:rsidRDefault="005077F9" w:rsidP="005077F9">
      <w:pPr>
        <w:widowControl/>
        <w:shd w:val="clear" w:color="auto" w:fill="FFFFFF"/>
        <w:spacing w:line="580" w:lineRule="atLeast"/>
        <w:jc w:val="left"/>
        <w:rPr>
          <w:rFonts w:ascii="Arial" w:eastAsia="宋体" w:hAnsi="Arial" w:cs="Arial"/>
          <w:color w:val="000000"/>
          <w:kern w:val="0"/>
          <w:szCs w:val="21"/>
        </w:rPr>
      </w:pPr>
      <w:r w:rsidRPr="00A931CB">
        <w:rPr>
          <w:rFonts w:ascii="宋体" w:eastAsia="宋体" w:hAnsi="宋体" w:cs="宋体" w:hint="eastAsia"/>
          <w:color w:val="000000"/>
          <w:kern w:val="0"/>
          <w:sz w:val="28"/>
          <w:szCs w:val="28"/>
        </w:rPr>
        <w:t> </w:t>
      </w:r>
    </w:p>
    <w:p w:rsidR="005077F9" w:rsidRPr="00A931CB" w:rsidRDefault="005077F9" w:rsidP="005077F9">
      <w:pPr>
        <w:widowControl/>
        <w:shd w:val="clear" w:color="auto" w:fill="FFFFFF"/>
        <w:spacing w:before="100" w:beforeAutospacing="1" w:after="100" w:afterAutospacing="1" w:line="330" w:lineRule="atLeast"/>
        <w:jc w:val="left"/>
        <w:rPr>
          <w:rFonts w:ascii="Arial" w:eastAsia="宋体" w:hAnsi="Arial" w:cs="Arial"/>
          <w:color w:val="000000"/>
          <w:kern w:val="0"/>
          <w:szCs w:val="21"/>
        </w:rPr>
      </w:pPr>
      <w:r w:rsidRPr="00A931CB">
        <w:rPr>
          <w:rFonts w:ascii="Arial" w:eastAsia="宋体" w:hAnsi="Arial" w:cs="Arial"/>
          <w:color w:val="000000"/>
          <w:kern w:val="0"/>
          <w:szCs w:val="21"/>
        </w:rPr>
        <w:t> </w:t>
      </w:r>
    </w:p>
    <w:p w:rsidR="005077F9" w:rsidRDefault="005077F9" w:rsidP="005077F9">
      <w:pPr>
        <w:widowControl/>
        <w:shd w:val="clear" w:color="auto" w:fill="FFFFFF"/>
        <w:spacing w:line="580" w:lineRule="atLeast"/>
        <w:jc w:val="left"/>
        <w:rPr>
          <w:rFonts w:ascii="宋体" w:eastAsia="宋体" w:hAnsi="宋体" w:cs="宋体"/>
          <w:color w:val="000000"/>
          <w:kern w:val="0"/>
          <w:sz w:val="28"/>
          <w:szCs w:val="28"/>
        </w:rPr>
      </w:pPr>
      <w:r w:rsidRPr="00A931CB">
        <w:rPr>
          <w:rFonts w:ascii="宋体" w:eastAsia="宋体" w:hAnsi="宋体" w:cs="宋体" w:hint="eastAsia"/>
          <w:color w:val="000000"/>
          <w:kern w:val="0"/>
          <w:sz w:val="28"/>
          <w:szCs w:val="28"/>
        </w:rPr>
        <w:t> </w:t>
      </w:r>
    </w:p>
    <w:p w:rsidR="005077F9" w:rsidRDefault="005077F9" w:rsidP="005077F9">
      <w:pPr>
        <w:widowControl/>
        <w:shd w:val="clear" w:color="auto" w:fill="FFFFFF"/>
        <w:spacing w:line="580" w:lineRule="atLeast"/>
        <w:jc w:val="left"/>
        <w:rPr>
          <w:rFonts w:ascii="宋体" w:eastAsia="宋体" w:hAnsi="宋体" w:cs="宋体"/>
          <w:color w:val="000000"/>
          <w:kern w:val="0"/>
          <w:sz w:val="28"/>
          <w:szCs w:val="28"/>
        </w:rPr>
      </w:pPr>
    </w:p>
    <w:p w:rsidR="005077F9" w:rsidRDefault="005077F9" w:rsidP="005077F9">
      <w:pPr>
        <w:widowControl/>
        <w:shd w:val="clear" w:color="auto" w:fill="FFFFFF"/>
        <w:spacing w:line="580" w:lineRule="atLeast"/>
        <w:jc w:val="left"/>
        <w:rPr>
          <w:rFonts w:ascii="宋体" w:eastAsia="宋体" w:hAnsi="宋体" w:cs="宋体"/>
          <w:color w:val="000000"/>
          <w:kern w:val="0"/>
          <w:sz w:val="28"/>
          <w:szCs w:val="28"/>
        </w:rPr>
      </w:pPr>
    </w:p>
    <w:p w:rsidR="00BC19AA" w:rsidRDefault="00BC19AA"/>
    <w:sectPr w:rsidR="00BC19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9AA" w:rsidRDefault="00BC19AA" w:rsidP="005077F9">
      <w:r>
        <w:separator/>
      </w:r>
    </w:p>
  </w:endnote>
  <w:endnote w:type="continuationSeparator" w:id="1">
    <w:p w:rsidR="00BC19AA" w:rsidRDefault="00BC19AA" w:rsidP="00507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9AA" w:rsidRDefault="00BC19AA" w:rsidP="005077F9">
      <w:r>
        <w:separator/>
      </w:r>
    </w:p>
  </w:footnote>
  <w:footnote w:type="continuationSeparator" w:id="1">
    <w:p w:rsidR="00BC19AA" w:rsidRDefault="00BC19AA" w:rsidP="00507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7F9"/>
    <w:rsid w:val="00213722"/>
    <w:rsid w:val="005077F9"/>
    <w:rsid w:val="005927FE"/>
    <w:rsid w:val="00BC19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7F9"/>
    <w:rPr>
      <w:sz w:val="18"/>
      <w:szCs w:val="18"/>
    </w:rPr>
  </w:style>
  <w:style w:type="paragraph" w:styleId="a4">
    <w:name w:val="footer"/>
    <w:basedOn w:val="a"/>
    <w:link w:val="Char0"/>
    <w:uiPriority w:val="99"/>
    <w:semiHidden/>
    <w:unhideWhenUsed/>
    <w:rsid w:val="005077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7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198</Words>
  <Characters>1135</Characters>
  <Application>Microsoft Office Word</Application>
  <DocSecurity>0</DocSecurity>
  <Lines>9</Lines>
  <Paragraphs>2</Paragraphs>
  <ScaleCrop>false</ScaleCrop>
  <Company>Lenovo</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2015-01-12T04:45:00Z</dcterms:created>
  <dcterms:modified xsi:type="dcterms:W3CDTF">2015-01-12T04:47:00Z</dcterms:modified>
</cp:coreProperties>
</file>